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R4-2305395</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highlight w:val="none"/>
          <w:lang w:eastAsia="zh-CN"/>
        </w:rPr>
        <w:t>April 17 – April 26</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5.14.2.3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ATG UE RF requirements based on the initial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color w:val="auto"/>
              </w:rPr>
              <w:t xml:space="preserve">TN with </w:t>
            </w:r>
            <w:r>
              <w:rPr>
                <w:rFonts w:eastAsia="Times New Roman"/>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rFonts w:eastAsia="Times New Roman"/>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100MHz</w:t>
            </w:r>
          </w:p>
          <w:p>
            <w:pPr>
              <w:pStyle w:val="35"/>
              <w:rPr>
                <w:rFonts w:eastAsia="Times New Roman"/>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rFonts w:eastAsia="Times New Roman"/>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5"/>
              <w:rPr>
                <w:bCs w:val="0"/>
                <w:color w:val="auto"/>
                <w:lang w:val="en-US" w:eastAsia="zh-CN"/>
              </w:rPr>
            </w:pPr>
            <w:r>
              <w:rPr>
                <w:rFonts w:eastAsia="Times New Roman"/>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lang w:val="en-US" w:eastAsia="zh-CN"/>
              </w:rPr>
            </w:pPr>
            <w:r>
              <w:rPr>
                <w:bCs w:val="0"/>
                <w:color w:val="auto"/>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val="en-US" w:eastAsia="en-GB"/>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zh-CN"/>
              </w:rPr>
            </w:pPr>
            <w:r>
              <w:rPr>
                <w:color w:val="auto"/>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 xml:space="preserve">TN with </w:t>
            </w:r>
            <w:r>
              <w:rPr>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val="en-US" w:eastAsia="zh-CN"/>
              </w:rPr>
            </w:pPr>
            <w:r>
              <w:rPr>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val="en-US" w:eastAsia="zh-CN"/>
              </w:rPr>
            </w:pPr>
            <w:r>
              <w:rPr>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zh-CN"/>
              </w:rPr>
            </w:pPr>
            <w:r>
              <w:rPr>
                <w:color w:val="auto"/>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rFonts w:eastAsia="宋体"/>
                <w:color w:val="auto"/>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100MHz</w:t>
            </w:r>
          </w:p>
          <w:p>
            <w:pPr>
              <w:pStyle w:val="36"/>
              <w:jc w:val="center"/>
              <w:textAlignment w:val="baseline"/>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val="en-US" w:eastAsia="zh-CN"/>
              </w:rPr>
            </w:pPr>
            <w:r>
              <w:rPr>
                <w:rFonts w:eastAsia="宋体"/>
                <w:color w:val="auto"/>
                <w:kern w:val="2"/>
                <w:szCs w:val="24"/>
                <w:lang w:eastAsia="zh-CN"/>
              </w:rPr>
              <w:t>FFS</w:t>
            </w:r>
          </w:p>
        </w:tc>
      </w:tr>
    </w:tbl>
    <w:p>
      <w:pPr>
        <w:widowControl w:val="0"/>
        <w:numPr>
          <w:ilvl w:val="0"/>
          <w:numId w:val="0"/>
        </w:numPr>
        <w:overflowPunct/>
        <w:autoSpaceDE/>
        <w:autoSpaceDN/>
        <w:adjustRightInd/>
        <w:spacing w:after="0"/>
        <w:ind w:left="840" w:leftChars="0"/>
        <w:jc w:val="both"/>
        <w:textAlignment w:val="auto"/>
        <w:rPr>
          <w:rFonts w:hint="eastAsia" w:cs="Times New Roman"/>
          <w:kern w:val="2"/>
          <w:sz w:val="21"/>
          <w:szCs w:val="22"/>
          <w:highlight w:val="none"/>
          <w:lang w:val="en-US" w:eastAsia="zh-CN" w:bidi="ar-SA"/>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10"/>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eastAsia"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1</w:t>
      </w:r>
      <w:r>
        <w:rPr>
          <w:rFonts w:hint="default" w:ascii="Arial" w:hAnsi="Arial" w:cs="Arial"/>
          <w:sz w:val="28"/>
          <w:szCs w:val="28"/>
          <w:lang w:val="en-US" w:eastAsia="zh-CN"/>
        </w:rPr>
        <w:t>. AC</w:t>
      </w:r>
      <w:r>
        <w:rPr>
          <w:rFonts w:hint="eastAsia" w:ascii="Arial" w:hAnsi="Arial" w:cs="Arial"/>
          <w:sz w:val="28"/>
          <w:szCs w:val="28"/>
          <w:lang w:val="en-US" w:eastAsia="zh-CN"/>
        </w:rPr>
        <w:t xml:space="preserve">S </w:t>
      </w:r>
      <w:r>
        <w:rPr>
          <w:rFonts w:hint="default" w:ascii="Arial" w:hAnsi="Arial" w:cs="Arial"/>
          <w:sz w:val="28"/>
          <w:szCs w:val="28"/>
          <w:lang w:val="en-US" w:eastAsia="zh-CN"/>
        </w:rPr>
        <w:t xml:space="preserve">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Arial" w:hAnsi="Arial" w:cs="Arial"/>
          <w:sz w:val="28"/>
          <w:szCs w:val="28"/>
          <w:highlight w:val="none"/>
          <w:lang w:val="en-US" w:eastAsia="zh-CN"/>
        </w:rPr>
      </w:pPr>
      <w:r>
        <w:rPr>
          <w:rFonts w:hint="eastAsia" w:cs="Times New Roman"/>
          <w:kern w:val="2"/>
          <w:sz w:val="21"/>
          <w:szCs w:val="22"/>
          <w:highlight w:val="none"/>
          <w:lang w:val="en-US" w:eastAsia="zh-CN" w:bidi="ar-SA"/>
        </w:rPr>
        <w:t>Based on the simulation results obtained so far for Case 3 and Case 11 as shown in Figure 1 and Figure 3, it should be sufficient to reuse the legacy FR1 UE PC3 ACS requirement 33dBc requirement for ATG UE.</w:t>
      </w:r>
    </w:p>
    <w:p>
      <w:pPr>
        <w:autoSpaceDE/>
        <w:autoSpaceDN/>
        <w:adjustRightInd/>
        <w:snapToGrid/>
        <w:spacing w:before="0" w:beforeLines="-2147483648" w:after="0" w:afterLines="-2147483648" w:line="240" w:lineRule="auto"/>
        <w:jc w:val="center"/>
        <w:rPr>
          <w:rFonts w:hint="eastAsia"/>
          <w:b/>
          <w:bCs/>
          <w:highlight w:val="none"/>
          <w:lang w:val="en-US" w:eastAsia="zh-CN"/>
        </w:rPr>
      </w:pPr>
      <w:r>
        <w:rPr>
          <w:highlight w:val="none"/>
        </w:rPr>
        <w:drawing>
          <wp:inline distT="0" distB="0" distL="114300" distR="114300">
            <wp:extent cx="3238500" cy="2428875"/>
            <wp:effectExtent l="0" t="0" r="0" b="952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1a</w:t>
      </w:r>
      <w:r>
        <w:rPr>
          <w:rFonts w:hint="eastAsia"/>
          <w:highlight w:val="none"/>
          <w:lang w:val="en-US" w:eastAsia="zh-CN"/>
        </w:rPr>
        <w:t>. simulation results for Case 3: TN DL interfering ATG DL @4GHz [non co-located deployment]</w:t>
      </w:r>
    </w:p>
    <w:p>
      <w:pPr>
        <w:pStyle w:val="40"/>
        <w:bidi w:val="0"/>
        <w:jc w:val="center"/>
        <w:rPr>
          <w:rFonts w:hint="eastAsia"/>
          <w:highlight w:val="none"/>
          <w:lang w:val="en-US" w:eastAsia="zh-CN"/>
        </w:rPr>
      </w:pPr>
      <w:r>
        <w:rPr>
          <w:highlight w:val="none"/>
        </w:rPr>
        <w:drawing>
          <wp:inline distT="0" distB="0" distL="114300" distR="114300">
            <wp:extent cx="3238500" cy="2428875"/>
            <wp:effectExtent l="0" t="0" r="0" b="952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1b</w:t>
      </w:r>
      <w:r>
        <w:rPr>
          <w:rFonts w:hint="eastAsia"/>
          <w:highlight w:val="none"/>
          <w:lang w:val="en-US" w:eastAsia="zh-CN"/>
        </w:rPr>
        <w:t>. simulation results for Case 3: TN DL interfering ATG DL @4GHz [co-located deployment]</w:t>
      </w:r>
    </w:p>
    <w:p>
      <w:pPr>
        <w:pStyle w:val="40"/>
        <w:bidi w:val="0"/>
        <w:rPr>
          <w:highlight w:val="none"/>
        </w:rPr>
      </w:pPr>
      <w:r>
        <w:rPr>
          <w:highlight w:val="none"/>
        </w:rPr>
        <w:drawing>
          <wp:inline distT="0" distB="0" distL="114300" distR="114300">
            <wp:extent cx="6188075" cy="4635500"/>
            <wp:effectExtent l="0" t="0" r="3175" b="12700"/>
            <wp:docPr id="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
                    <pic:cNvPicPr>
                      <a:picLocks noChangeAspect="1"/>
                    </pic:cNvPicPr>
                  </pic:nvPicPr>
                  <pic:blipFill>
                    <a:blip r:embed="rId7"/>
                    <a:stretch>
                      <a:fillRect/>
                    </a:stretch>
                  </pic:blipFill>
                  <pic:spPr>
                    <a:xfrm>
                      <a:off x="0" y="0"/>
                      <a:ext cx="6188075" cy="4635500"/>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宋体"/>
          <w:highlight w:val="none"/>
          <w:lang w:val="en-US" w:eastAsia="zh-CN"/>
        </w:rPr>
      </w:pPr>
      <w:r>
        <w:rPr>
          <w:rFonts w:hint="eastAsia"/>
          <w:highlight w:val="none"/>
          <w:lang w:val="en-US" w:eastAsia="zh-CN"/>
        </w:rPr>
        <w:t>Figure 2. the TN cells placed underneath of Aircraft [the figure is for informative with one more ring of 57 sectors]</w:t>
      </w:r>
    </w:p>
    <w:p>
      <w:pPr>
        <w:pStyle w:val="40"/>
        <w:bidi w:val="0"/>
        <w:rPr>
          <w:rFonts w:hint="eastAsia"/>
          <w:highlight w:val="none"/>
          <w:lang w:val="en-US" w:eastAsia="zh-CN"/>
        </w:rPr>
      </w:pPr>
    </w:p>
    <w:p>
      <w:pPr>
        <w:pStyle w:val="40"/>
        <w:bidi w:val="0"/>
        <w:jc w:val="center"/>
        <w:rPr>
          <w:rFonts w:hint="eastAsia"/>
          <w:highlight w:val="none"/>
          <w:lang w:val="en-US" w:eastAsia="zh-CN"/>
        </w:rPr>
      </w:pPr>
      <w:r>
        <w:rPr>
          <w:highlight w:val="none"/>
        </w:rPr>
        <w:drawing>
          <wp:inline distT="0" distB="0" distL="114300" distR="114300">
            <wp:extent cx="3238500" cy="2428875"/>
            <wp:effectExtent l="0" t="0" r="0" b="9525"/>
            <wp:docPr id="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r>
        <w:rPr>
          <w:rFonts w:hint="eastAsia"/>
          <w:b/>
          <w:bCs/>
          <w:highlight w:val="none"/>
          <w:lang w:val="en-US" w:eastAsia="zh-CN"/>
        </w:rPr>
        <w:t>Figure 3</w:t>
      </w:r>
      <w:r>
        <w:rPr>
          <w:rFonts w:hint="eastAsia"/>
          <w:highlight w:val="none"/>
          <w:lang w:val="en-US" w:eastAsia="zh-CN"/>
        </w:rPr>
        <w:t xml:space="preserve">. simulation results for Case 10: TN DL interfering ATG DL @2GHz [non co-located deployment] </w:t>
      </w:r>
    </w:p>
    <w:p>
      <w:pPr>
        <w:autoSpaceDE/>
        <w:autoSpaceDN/>
        <w:adjustRightInd/>
        <w:snapToGrid/>
        <w:spacing w:before="0" w:beforeLines="-2147483648" w:after="0" w:afterLines="-2147483648" w:line="240" w:lineRule="auto"/>
        <w:jc w:val="center"/>
        <w:rPr>
          <w:rFonts w:hint="eastAsia"/>
          <w:highlight w:val="none"/>
          <w:lang w:val="en-US" w:eastAsia="zh-CN"/>
        </w:rPr>
      </w:pPr>
    </w:p>
    <w:p>
      <w:pPr>
        <w:keepLines w:val="0"/>
        <w:widowControl w:val="0"/>
        <w:pBdr>
          <w:top w:val="none" w:color="auto" w:sz="0" w:space="0"/>
          <w:left w:val="none" w:color="auto" w:sz="0" w:space="0"/>
          <w:bottom w:val="none" w:color="auto" w:sz="0" w:space="0"/>
          <w:right w:val="none" w:color="auto" w:sz="0" w:space="0"/>
          <w:between w:val="none" w:color="auto" w:sz="0" w:space="0"/>
        </w:pBdr>
        <w:tabs>
          <w:tab w:val="left" w:pos="2127"/>
        </w:tabs>
        <w:overflowPunct/>
        <w:autoSpaceDE/>
        <w:autoSpaceDN/>
        <w:adjustRightInd/>
        <w:spacing w:after="0"/>
        <w:jc w:val="both"/>
        <w:textAlignment w:val="auto"/>
        <w:outlineLvl w:val="9"/>
        <w:rPr>
          <w:rFonts w:hint="eastAsia" w:cs="Times New Roman"/>
          <w:kern w:val="2"/>
          <w:sz w:val="21"/>
          <w:szCs w:val="22"/>
          <w:highlight w:val="none"/>
          <w:lang w:val="en-US" w:eastAsia="zh-CN" w:bidi="ar-SA"/>
        </w:rPr>
      </w:pPr>
      <w:r>
        <w:rPr>
          <w:rFonts w:hint="eastAsia"/>
          <w:b/>
          <w:bCs/>
          <w:highlight w:val="none"/>
          <w:lang w:val="en-US" w:eastAsia="zh-CN"/>
        </w:rPr>
        <w:t>Observation 1:</w:t>
      </w:r>
      <w:r>
        <w:rPr>
          <w:rFonts w:hint="eastAsia"/>
          <w:highlight w:val="none"/>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lang w:val="en-US" w:eastAsia="zh-CN"/>
        </w:rPr>
      </w:pPr>
      <w:r>
        <w:rPr>
          <w:rFonts w:hint="eastAsia" w:ascii="Arial" w:hAnsi="Arial" w:cs="Arial"/>
          <w:sz w:val="28"/>
          <w:szCs w:val="28"/>
          <w:lang w:val="en-US" w:eastAsia="zh-CN"/>
        </w:rPr>
        <w:t>2.2. Other Rx RF requirements for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addition, in the following table 1, we share some further views on the ATG UE Rx RF requirement and its details could be found as following:</w:t>
      </w:r>
    </w:p>
    <w:p>
      <w:pPr>
        <w:autoSpaceDE/>
        <w:autoSpaceDN/>
        <w:adjustRightInd/>
        <w:snapToGrid/>
        <w:spacing w:before="0" w:beforeLines="-2147483648" w:after="0" w:afterLines="-2147483648" w:line="240" w:lineRule="auto"/>
        <w:jc w:val="center"/>
        <w:rPr>
          <w:rFonts w:hint="eastAsia" w:ascii="Arial" w:hAnsi="Arial" w:cs="Arial"/>
          <w:sz w:val="28"/>
          <w:szCs w:val="28"/>
          <w:lang w:val="en-US" w:eastAsia="zh-CN"/>
        </w:rPr>
      </w:pPr>
      <w:r>
        <w:rPr>
          <w:rFonts w:hint="eastAsia"/>
          <w:sz w:val="20"/>
          <w:lang w:val="en-US" w:eastAsia="zh-CN"/>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spacing w:after="160" w:line="259" w:lineRule="auto"/>
              <w:rPr>
                <w:rFonts w:asciiTheme="minorHAnsi" w:hAnsiTheme="minorHAnsi" w:cstheme="minorHAnsi"/>
                <w:b/>
                <w:bCs/>
              </w:rPr>
            </w:pPr>
          </w:p>
        </w:tc>
        <w:tc>
          <w:tcPr>
            <w:tcW w:w="6193" w:type="dxa"/>
            <w:shd w:val="clear" w:color="auto" w:fill="D7D7D7" w:themeFill="background1" w:themeFillShade="D8"/>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numPr>
                <w:ilvl w:val="0"/>
                <w:numId w:val="0"/>
              </w:num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eastAsia" w:cs="Times New Roman"/>
                <w:lang w:val="en-US" w:eastAsia="zh-CN"/>
              </w:rPr>
            </w:pPr>
            <w:r>
              <w:rPr>
                <w:rFonts w:hint="default" w:cs="Times New Roman"/>
                <w:lang w:val="en-US" w:eastAsia="zh-CN"/>
              </w:rPr>
              <w:t xml:space="preserve">This depend on the simulation results </w:t>
            </w:r>
            <w:r>
              <w:rPr>
                <w:rFonts w:hint="eastAsia" w:cs="Times New Roman"/>
                <w:lang w:val="en-US" w:eastAsia="zh-CN"/>
              </w:rPr>
              <w:t>input to verify whether this requirement could be further relaxed similar as NR over NTN in Rel-17.</w:t>
            </w:r>
          </w:p>
          <w:p>
            <w:pPr>
              <w:spacing w:after="160" w:line="259" w:lineRule="auto"/>
              <w:rPr>
                <w:rFonts w:hint="eastAsia" w:cs="Times New Roman"/>
                <w:lang w:val="en-US" w:eastAsia="zh-CN"/>
              </w:rPr>
            </w:pPr>
            <w:r>
              <w:rPr>
                <w:rFonts w:hint="eastAsia" w:cs="Times New Roman"/>
                <w:lang w:val="en-US" w:eastAsia="zh-CN"/>
              </w:rPr>
              <w:t>Based on the coupling loss shown as following, the maximum input power could be further relaxed around 30dB compared with MCL 70dBc for Wide area BS class.</w:t>
            </w:r>
          </w:p>
          <w:p>
            <w:pPr>
              <w:spacing w:after="160" w:line="259" w:lineRule="auto"/>
              <w:rPr>
                <w:rFonts w:hint="default" w:cs="Times New Roman"/>
                <w:lang w:val="en-US" w:eastAsia="zh-CN"/>
              </w:rPr>
            </w:pPr>
            <w:r>
              <w:rPr>
                <w:rFonts w:hint="eastAsia" w:cs="Times New Roman"/>
                <w:b/>
                <w:bCs/>
                <w:lang w:val="en-US" w:eastAsia="zh-CN"/>
              </w:rPr>
              <w:t>Proposal 1:</w:t>
            </w:r>
            <w:r>
              <w:rPr>
                <w:rFonts w:hint="eastAsia" w:cs="Times New Roman"/>
                <w:lang w:val="en-US" w:eastAsia="zh-CN"/>
              </w:rPr>
              <w:t xml:space="preserve"> the maximum input power could be relaxed around 30dBc. </w:t>
            </w:r>
          </w:p>
          <w:p>
            <w:pPr>
              <w:spacing w:after="160" w:line="259" w:lineRule="auto"/>
              <w:rPr>
                <w:rFonts w:hint="default"/>
                <w:lang w:val="en-US" w:eastAsia="zh-CN"/>
              </w:rPr>
            </w:pPr>
            <w:r>
              <w:drawing>
                <wp:inline distT="0" distB="0" distL="114935" distR="114935">
                  <wp:extent cx="3509010" cy="2630805"/>
                  <wp:effectExtent l="0" t="0" r="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509010" cy="2630805"/>
                          </a:xfrm>
                          <a:prstGeom prst="rect">
                            <a:avLst/>
                          </a:prstGeom>
                          <a:noFill/>
                          <a:ln>
                            <a:noFill/>
                          </a:ln>
                        </pic:spPr>
                      </pic:pic>
                    </a:graphicData>
                  </a:graphic>
                </wp:inline>
              </w:drawing>
            </w:r>
            <w:r>
              <w:drawing>
                <wp:inline distT="0" distB="0" distL="114300" distR="114300">
                  <wp:extent cx="3507105" cy="2628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507105" cy="26289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ACS</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eastAsia"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default" w:eastAsia="宋体" w:cs="Times New Roman"/>
                <w:lang w:val="en-US" w:eastAsia="zh-CN"/>
              </w:rPr>
            </w:pPr>
            <w:r>
              <w:rPr>
                <w:rFonts w:hint="eastAsia" w:cs="Times New Roman"/>
                <w:lang w:val="en-US" w:eastAsia="zh-CN"/>
              </w:rPr>
              <w:t>Please see the simulation results in section 2.1 and its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In-band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 xml:space="preserve">To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Out-of-band</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Partially Yes</w:t>
            </w:r>
          </w:p>
        </w:tc>
        <w:tc>
          <w:tcPr>
            <w:tcW w:w="6193" w:type="dxa"/>
          </w:tcPr>
          <w:p>
            <w:pPr>
              <w:spacing w:after="160" w:line="259" w:lineRule="auto"/>
              <w:rPr>
                <w:rFonts w:hint="eastAsia"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eastAsia" w:cs="Times New Roman"/>
                <w:lang w:val="en-US" w:eastAsia="zh-CN"/>
              </w:rPr>
              <w:t>Status: ongoing</w:t>
            </w:r>
          </w:p>
          <w:p>
            <w:pPr>
              <w:spacing w:after="160" w:line="259" w:lineRule="auto"/>
              <w:rPr>
                <w:rFonts w:hint="default" w:cs="Times New Roman"/>
                <w:lang w:val="en-US" w:eastAsia="zh-CN"/>
              </w:rPr>
            </w:pPr>
            <w:r>
              <w:rPr>
                <w:rFonts w:hint="default" w:cs="Times New Roman"/>
                <w:lang w:val="en-US" w:eastAsia="zh-CN"/>
              </w:rPr>
              <w:t xml:space="preserve">Expect the same as TN </w:t>
            </w:r>
            <w:r>
              <w:rPr>
                <w:rFonts w:hint="eastAsia" w:cs="Times New Roman"/>
                <w:lang w:val="en-US" w:eastAsia="zh-CN"/>
              </w:rPr>
              <w:t>and its power level of interfering signal could be further investigated similar as in-band blocking and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eastAsia" w:cs="Times New Roman"/>
                <w:lang w:val="en-US" w:eastAsia="zh-CN"/>
              </w:rPr>
              <w:t>Status: ongoing</w:t>
            </w:r>
          </w:p>
          <w:p>
            <w:pPr>
              <w:spacing w:after="160" w:line="259" w:lineRule="auto"/>
              <w:rPr>
                <w:rFonts w:hint="default" w:cs="Times New Roman"/>
                <w:lang w:val="en-US" w:eastAsia="zh-CN"/>
              </w:rPr>
            </w:pPr>
            <w:r>
              <w:rPr>
                <w:rFonts w:hint="default"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lang w:val="en-US" w:eastAsia="zh-CN"/>
              </w:rPr>
            </w:pPr>
            <w:r>
              <w:rPr>
                <w:rFonts w:hint="eastAsia" w:cs="Times New Roman"/>
                <w:lang w:val="en-US" w:eastAsia="zh-CN"/>
              </w:rPr>
              <w:t>Status: completed</w:t>
            </w: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Rx RF requirements and proposals are made as following:</w:t>
      </w:r>
    </w:p>
    <w:p>
      <w:pPr>
        <w:keepLines w:val="0"/>
        <w:widowControl w:val="0"/>
        <w:pBdr>
          <w:top w:val="none" w:color="auto" w:sz="0" w:space="0"/>
          <w:left w:val="none" w:color="auto" w:sz="0" w:space="0"/>
          <w:bottom w:val="none" w:color="auto" w:sz="0" w:space="0"/>
          <w:right w:val="none" w:color="auto" w:sz="0" w:space="0"/>
          <w:between w:val="none" w:color="auto" w:sz="0" w:space="0"/>
        </w:pBdr>
        <w:tabs>
          <w:tab w:val="left" w:pos="2127"/>
        </w:tabs>
        <w:overflowPunct/>
        <w:autoSpaceDE/>
        <w:autoSpaceDN/>
        <w:adjustRightInd/>
        <w:spacing w:after="0"/>
        <w:jc w:val="both"/>
        <w:textAlignment w:val="auto"/>
        <w:outlineLvl w:val="9"/>
        <w:rPr>
          <w:rFonts w:hint="eastAsia" w:cs="Times New Roman"/>
          <w:kern w:val="2"/>
          <w:sz w:val="21"/>
          <w:szCs w:val="22"/>
          <w:highlight w:val="none"/>
          <w:lang w:val="en-US" w:eastAsia="zh-CN" w:bidi="ar-SA"/>
        </w:rPr>
      </w:pPr>
      <w:r>
        <w:rPr>
          <w:rFonts w:hint="eastAsia"/>
          <w:b/>
          <w:bCs/>
          <w:highlight w:val="none"/>
          <w:lang w:val="en-US" w:eastAsia="zh-CN"/>
        </w:rPr>
        <w:t>Observation 1:</w:t>
      </w:r>
      <w:r>
        <w:rPr>
          <w:rFonts w:hint="eastAsia"/>
          <w:highlight w:val="none"/>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keepNext w:val="0"/>
        <w:keepLines w:val="0"/>
        <w:pageBreakBefore w:val="0"/>
        <w:widowControl w:val="0"/>
        <w:kinsoku/>
        <w:wordWrap/>
        <w:overflowPunct/>
        <w:topLinePunct w:val="0"/>
        <w:autoSpaceDE/>
        <w:autoSpaceDN/>
        <w:bidi w:val="0"/>
        <w:adjustRightInd/>
        <w:snapToGrid/>
        <w:spacing w:line="259" w:lineRule="auto"/>
        <w:textAlignment w:val="auto"/>
        <w:rPr>
          <w:rFonts w:hint="default" w:cs="Times New Roman"/>
          <w:lang w:val="en-US" w:eastAsia="zh-CN"/>
        </w:rPr>
      </w:pPr>
      <w:r>
        <w:rPr>
          <w:rFonts w:hint="eastAsia" w:cs="Times New Roman"/>
          <w:b/>
          <w:bCs/>
          <w:lang w:val="en-US" w:eastAsia="zh-CN"/>
        </w:rPr>
        <w:t>Proposal 1:</w:t>
      </w:r>
      <w:r>
        <w:rPr>
          <w:rFonts w:hint="eastAsia" w:cs="Times New Roman"/>
          <w:lang w:val="en-US" w:eastAsia="zh-CN"/>
        </w:rPr>
        <w:t xml:space="preserve"> the maximum input power could be relaxed around 30dBc.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Proposal 2:</w:t>
      </w:r>
      <w:r>
        <w:rPr>
          <w:rFonts w:hint="eastAsia" w:cs="Times New Roman"/>
          <w:lang w:val="en-US" w:eastAsia="zh-CN"/>
        </w:rPr>
        <w:t xml:space="preserve"> for in-band blocking requirement of ATG CPE, propose 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as baseline and further discuss whether it could be relaxed further since the expected blocking signal should be lower compared with the handheld smartphone.</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 xml:space="preserve">Proposal 3: </w:t>
      </w:r>
      <w:r>
        <w:rPr>
          <w:rFonts w:hint="eastAsia" w:cs="Times New Roman"/>
          <w:lang w:val="en-US" w:eastAsia="zh-CN"/>
        </w:rPr>
        <w:t>for OOBB requirement of ATG CPE, propose to</w:t>
      </w:r>
      <w:r>
        <w:rPr>
          <w:rFonts w:hint="default" w:ascii="Times New Roman" w:hAnsi="Times New Roman" w:cs="Times New Roman"/>
          <w:lang w:val="en-US" w:eastAsia="zh-CN"/>
        </w:rPr>
        <w:t xml:space="preserve">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Proposal 4:</w:t>
      </w:r>
      <w:r>
        <w:rPr>
          <w:rFonts w:hint="eastAsia" w:cs="Times New Roman"/>
          <w:lang w:val="en-US" w:eastAsia="zh-CN"/>
        </w:rPr>
        <w:t xml:space="preserve"> for receiver spurious response requirement, propose to</w:t>
      </w:r>
      <w:r>
        <w:rPr>
          <w:rFonts w:hint="default" w:cs="Times New Roman"/>
          <w:lang w:val="en-US" w:eastAsia="zh-CN"/>
        </w:rPr>
        <w:t xml:space="preserve"> the same as TN </w:t>
      </w:r>
      <w:r>
        <w:rPr>
          <w:rFonts w:hint="eastAsia" w:cs="Times New Roman"/>
          <w:lang w:val="en-US" w:eastAsia="zh-CN"/>
        </w:rPr>
        <w:t>and its power level of interfering signal could be further investigated similar as in-band blocking and out of band blocking.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lang w:val="en-US" w:eastAsia="zh-CN"/>
        </w:rPr>
      </w:pPr>
      <w:r>
        <w:rPr>
          <w:rFonts w:hint="eastAsia" w:cs="Times New Roman"/>
          <w:b/>
          <w:bCs/>
          <w:lang w:val="en-US" w:eastAsia="zh-CN"/>
        </w:rPr>
        <w:t>Proposal 5:</w:t>
      </w:r>
      <w:r>
        <w:rPr>
          <w:rFonts w:hint="eastAsia" w:cs="Times New Roman"/>
          <w:lang w:val="en-US" w:eastAsia="zh-CN"/>
        </w:rPr>
        <w:t xml:space="preserve"> for Rx IMD requirement of ATG CPE, propose not to define the requirement.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2"/>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2"/>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u w:val="none"/>
          <w:lang w:eastAsia="en-GB"/>
        </w:rPr>
        <w:t>R4-2217738</w:t>
      </w:r>
      <w:r>
        <w:rPr>
          <w:b w:val="0"/>
          <w:sz w:val="18"/>
          <w:szCs w:val="18"/>
          <w:u w:val="none"/>
          <w:lang w:val="en-US" w:eastAsia="zh-CN"/>
        </w:rPr>
        <w:tab/>
      </w:r>
      <w:r>
        <w:rPr>
          <w:rFonts w:ascii="Times New Roman" w:hAnsi="Times New Roman" w:cs="Times New Roman"/>
          <w:b w:val="0"/>
          <w:sz w:val="18"/>
          <w:szCs w:val="18"/>
          <w:u w:val="none"/>
          <w:lang w:eastAsia="en-GB"/>
        </w:rPr>
        <w:t>WF on ATG terminal RF requirement</w:t>
      </w:r>
      <w:r>
        <w:rPr>
          <w:rFonts w:hint="default" w:ascii="Times New Roman" w:hAnsi="Times New Roman" w:cs="Times New Roman"/>
          <w:b w:val="0"/>
          <w:sz w:val="18"/>
          <w:szCs w:val="18"/>
          <w:u w:val="none"/>
          <w:lang w:val="en-US" w:eastAsia="zh-CN"/>
        </w:rPr>
        <w:t xml:space="preserve">, </w:t>
      </w:r>
      <w:r>
        <w:rPr>
          <w:i w:val="0"/>
          <w:sz w:val="18"/>
          <w:szCs w:val="18"/>
          <w:u w:val="none"/>
          <w:lang w:eastAsia="en-GB"/>
        </w:rPr>
        <w:t>Huawei, HiSilicon</w:t>
      </w:r>
      <w:r>
        <w:rPr>
          <w:rFonts w:hint="eastAsia"/>
          <w:i w:val="0"/>
          <w:sz w:val="18"/>
          <w:szCs w:val="18"/>
          <w:u w:val="none"/>
          <w:lang w:val="en-US" w:eastAsia="zh-CN"/>
        </w:rPr>
        <w:t>, Approved.</w:t>
      </w: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2B"/>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475C2A"/>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05B5B"/>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A058E"/>
    <w:rsid w:val="03BD3737"/>
    <w:rsid w:val="03C0647A"/>
    <w:rsid w:val="03C6618A"/>
    <w:rsid w:val="03CD06E1"/>
    <w:rsid w:val="03CD6E1F"/>
    <w:rsid w:val="03D21900"/>
    <w:rsid w:val="03D4427A"/>
    <w:rsid w:val="03DE5A49"/>
    <w:rsid w:val="03E02C94"/>
    <w:rsid w:val="03E54642"/>
    <w:rsid w:val="03F310D8"/>
    <w:rsid w:val="03F54B29"/>
    <w:rsid w:val="03F81356"/>
    <w:rsid w:val="03F947E9"/>
    <w:rsid w:val="03FF3D36"/>
    <w:rsid w:val="04034FE6"/>
    <w:rsid w:val="040B2442"/>
    <w:rsid w:val="040C6238"/>
    <w:rsid w:val="040E704D"/>
    <w:rsid w:val="0414754E"/>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B40DC"/>
    <w:rsid w:val="04A5740D"/>
    <w:rsid w:val="04AE5C95"/>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9E4FFA"/>
    <w:rsid w:val="05A706E9"/>
    <w:rsid w:val="05B11A20"/>
    <w:rsid w:val="05B173DC"/>
    <w:rsid w:val="05B27D07"/>
    <w:rsid w:val="05B658ED"/>
    <w:rsid w:val="05BC079D"/>
    <w:rsid w:val="05BE42A5"/>
    <w:rsid w:val="05C256BE"/>
    <w:rsid w:val="05CC32B8"/>
    <w:rsid w:val="05CF0B6D"/>
    <w:rsid w:val="05D16BC6"/>
    <w:rsid w:val="05D72849"/>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55A68"/>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10415"/>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C3E90"/>
    <w:rsid w:val="0835476E"/>
    <w:rsid w:val="08367FC2"/>
    <w:rsid w:val="08391661"/>
    <w:rsid w:val="084E0029"/>
    <w:rsid w:val="08550FFB"/>
    <w:rsid w:val="085D6C7E"/>
    <w:rsid w:val="08611CAF"/>
    <w:rsid w:val="0865781A"/>
    <w:rsid w:val="0866133E"/>
    <w:rsid w:val="08692F64"/>
    <w:rsid w:val="087716A2"/>
    <w:rsid w:val="0877256A"/>
    <w:rsid w:val="08780590"/>
    <w:rsid w:val="087E046C"/>
    <w:rsid w:val="087E5044"/>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343541"/>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12023"/>
    <w:rsid w:val="0A9B6BF5"/>
    <w:rsid w:val="0A9E5B2C"/>
    <w:rsid w:val="0AA40CFE"/>
    <w:rsid w:val="0AA50074"/>
    <w:rsid w:val="0AAB401F"/>
    <w:rsid w:val="0AB329A9"/>
    <w:rsid w:val="0ABA55D8"/>
    <w:rsid w:val="0AC23AEF"/>
    <w:rsid w:val="0ACC5ABA"/>
    <w:rsid w:val="0ACD4245"/>
    <w:rsid w:val="0AD57FD6"/>
    <w:rsid w:val="0AD84FAB"/>
    <w:rsid w:val="0ADD7B55"/>
    <w:rsid w:val="0AE534E2"/>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37C62"/>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BF929AC"/>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AE7932"/>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1348F"/>
    <w:rsid w:val="0DA57AAE"/>
    <w:rsid w:val="0DB76EF8"/>
    <w:rsid w:val="0DCE36F3"/>
    <w:rsid w:val="0DD621E4"/>
    <w:rsid w:val="0DDB5EF5"/>
    <w:rsid w:val="0DDD2372"/>
    <w:rsid w:val="0DDE1317"/>
    <w:rsid w:val="0DE55D4A"/>
    <w:rsid w:val="0DEE77C3"/>
    <w:rsid w:val="0DF0225F"/>
    <w:rsid w:val="0DF367C2"/>
    <w:rsid w:val="0DF823D2"/>
    <w:rsid w:val="0DFC48AF"/>
    <w:rsid w:val="0DFF2594"/>
    <w:rsid w:val="0E0148E6"/>
    <w:rsid w:val="0E0313B1"/>
    <w:rsid w:val="0E062A96"/>
    <w:rsid w:val="0E0D1A47"/>
    <w:rsid w:val="0E176FCD"/>
    <w:rsid w:val="0E1C0C6C"/>
    <w:rsid w:val="0E281319"/>
    <w:rsid w:val="0E3217E8"/>
    <w:rsid w:val="0E387AA5"/>
    <w:rsid w:val="0E3C553E"/>
    <w:rsid w:val="0E3F0E9A"/>
    <w:rsid w:val="0E400D03"/>
    <w:rsid w:val="0E485C9B"/>
    <w:rsid w:val="0E597059"/>
    <w:rsid w:val="0E5E2B07"/>
    <w:rsid w:val="0E771E51"/>
    <w:rsid w:val="0E796EA0"/>
    <w:rsid w:val="0E7A2A61"/>
    <w:rsid w:val="0E7C0762"/>
    <w:rsid w:val="0E806CA1"/>
    <w:rsid w:val="0E8118C0"/>
    <w:rsid w:val="0E980AF6"/>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0FF53B6B"/>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3CF"/>
    <w:rsid w:val="10D679E0"/>
    <w:rsid w:val="10E40871"/>
    <w:rsid w:val="10FA45D2"/>
    <w:rsid w:val="11024527"/>
    <w:rsid w:val="110A4489"/>
    <w:rsid w:val="11150F62"/>
    <w:rsid w:val="111A28E5"/>
    <w:rsid w:val="112100B5"/>
    <w:rsid w:val="112F54D2"/>
    <w:rsid w:val="1133321C"/>
    <w:rsid w:val="113816DB"/>
    <w:rsid w:val="11457D8C"/>
    <w:rsid w:val="11461F96"/>
    <w:rsid w:val="114C3CA8"/>
    <w:rsid w:val="114D3A1D"/>
    <w:rsid w:val="11516CD0"/>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550E3"/>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3070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1D00C5"/>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058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CA4C9C"/>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9773E"/>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D162B"/>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6E2E4D"/>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111E6"/>
    <w:rsid w:val="1D1D6A68"/>
    <w:rsid w:val="1D1F1D0C"/>
    <w:rsid w:val="1D2054C4"/>
    <w:rsid w:val="1D24658B"/>
    <w:rsid w:val="1D2766DE"/>
    <w:rsid w:val="1D2E77E8"/>
    <w:rsid w:val="1D4969F4"/>
    <w:rsid w:val="1D4C117F"/>
    <w:rsid w:val="1D513E68"/>
    <w:rsid w:val="1D532A46"/>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75554"/>
    <w:rsid w:val="1DC9575C"/>
    <w:rsid w:val="1DEC45ED"/>
    <w:rsid w:val="1DF2745E"/>
    <w:rsid w:val="1DF623E3"/>
    <w:rsid w:val="1E090801"/>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F03E2"/>
    <w:rsid w:val="1F0D14F3"/>
    <w:rsid w:val="1F141EF2"/>
    <w:rsid w:val="1F303EA7"/>
    <w:rsid w:val="1F30637A"/>
    <w:rsid w:val="1F3111CE"/>
    <w:rsid w:val="1F3B4190"/>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21B37"/>
    <w:rsid w:val="2209399D"/>
    <w:rsid w:val="22096946"/>
    <w:rsid w:val="220D11C4"/>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5788C"/>
    <w:rsid w:val="25467DBB"/>
    <w:rsid w:val="25473E3C"/>
    <w:rsid w:val="25490F17"/>
    <w:rsid w:val="254C4068"/>
    <w:rsid w:val="254E34FC"/>
    <w:rsid w:val="25515E07"/>
    <w:rsid w:val="25584ADE"/>
    <w:rsid w:val="2559706B"/>
    <w:rsid w:val="255E0BEA"/>
    <w:rsid w:val="256343AC"/>
    <w:rsid w:val="25771B32"/>
    <w:rsid w:val="257B16DE"/>
    <w:rsid w:val="257C1A72"/>
    <w:rsid w:val="257F18B5"/>
    <w:rsid w:val="25805FF5"/>
    <w:rsid w:val="25866F68"/>
    <w:rsid w:val="258A3283"/>
    <w:rsid w:val="258E66DC"/>
    <w:rsid w:val="258F15BB"/>
    <w:rsid w:val="25912795"/>
    <w:rsid w:val="259231BD"/>
    <w:rsid w:val="25A77DD4"/>
    <w:rsid w:val="25AC3590"/>
    <w:rsid w:val="25AE0C1E"/>
    <w:rsid w:val="25BB6C64"/>
    <w:rsid w:val="25C34CFA"/>
    <w:rsid w:val="25C87522"/>
    <w:rsid w:val="25C97301"/>
    <w:rsid w:val="25CC4C1C"/>
    <w:rsid w:val="25CD7961"/>
    <w:rsid w:val="25D64403"/>
    <w:rsid w:val="25DE4F9A"/>
    <w:rsid w:val="25EB7CD4"/>
    <w:rsid w:val="25F04B7D"/>
    <w:rsid w:val="25F51596"/>
    <w:rsid w:val="25F67042"/>
    <w:rsid w:val="260A55DA"/>
    <w:rsid w:val="260B255C"/>
    <w:rsid w:val="2611495B"/>
    <w:rsid w:val="2618762A"/>
    <w:rsid w:val="26217848"/>
    <w:rsid w:val="2629421B"/>
    <w:rsid w:val="262E20E8"/>
    <w:rsid w:val="262E2FC9"/>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821BE"/>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313D8"/>
    <w:rsid w:val="28CA1E93"/>
    <w:rsid w:val="28CE2A8C"/>
    <w:rsid w:val="28D139F1"/>
    <w:rsid w:val="28D5169B"/>
    <w:rsid w:val="28DA6C60"/>
    <w:rsid w:val="28DB0A30"/>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C111E"/>
    <w:rsid w:val="2ACF5AEC"/>
    <w:rsid w:val="2AD62AB0"/>
    <w:rsid w:val="2ADC1447"/>
    <w:rsid w:val="2ADE1583"/>
    <w:rsid w:val="2AE01169"/>
    <w:rsid w:val="2AE70523"/>
    <w:rsid w:val="2AF12CDF"/>
    <w:rsid w:val="2AF27DCB"/>
    <w:rsid w:val="2AF309E4"/>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AA5340"/>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15F61"/>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00D5"/>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32D91"/>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E302B9"/>
    <w:rsid w:val="31F20023"/>
    <w:rsid w:val="31F536F7"/>
    <w:rsid w:val="31FA7AEE"/>
    <w:rsid w:val="31FB60C5"/>
    <w:rsid w:val="3209100C"/>
    <w:rsid w:val="321E250B"/>
    <w:rsid w:val="32202664"/>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56BF9"/>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B13D7"/>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7740B1"/>
    <w:rsid w:val="36820E97"/>
    <w:rsid w:val="36884498"/>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5162F"/>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61CC"/>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33057"/>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11D0A"/>
    <w:rsid w:val="3C9E64A0"/>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750A8"/>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24B83"/>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6B61C0"/>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077276"/>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B0CE1"/>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95A89"/>
    <w:rsid w:val="400A1CFC"/>
    <w:rsid w:val="400B4F14"/>
    <w:rsid w:val="401D6DEE"/>
    <w:rsid w:val="40372C35"/>
    <w:rsid w:val="403870E4"/>
    <w:rsid w:val="403D7C5C"/>
    <w:rsid w:val="40400533"/>
    <w:rsid w:val="4049754C"/>
    <w:rsid w:val="404B2521"/>
    <w:rsid w:val="404B383D"/>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C58B0"/>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638C7"/>
    <w:rsid w:val="44AA6690"/>
    <w:rsid w:val="44AC77AC"/>
    <w:rsid w:val="44B4690B"/>
    <w:rsid w:val="44B53006"/>
    <w:rsid w:val="44BA1648"/>
    <w:rsid w:val="44BB150F"/>
    <w:rsid w:val="44BE4FA9"/>
    <w:rsid w:val="44C43057"/>
    <w:rsid w:val="44C87C0F"/>
    <w:rsid w:val="44D31B1E"/>
    <w:rsid w:val="44DF6F1B"/>
    <w:rsid w:val="44E54BDC"/>
    <w:rsid w:val="44E92DF3"/>
    <w:rsid w:val="44F82D0E"/>
    <w:rsid w:val="45074FF7"/>
    <w:rsid w:val="451C5E9C"/>
    <w:rsid w:val="452C5F0A"/>
    <w:rsid w:val="453579B0"/>
    <w:rsid w:val="45385EDA"/>
    <w:rsid w:val="453F48AB"/>
    <w:rsid w:val="454036A6"/>
    <w:rsid w:val="45446179"/>
    <w:rsid w:val="454C269B"/>
    <w:rsid w:val="454E0AAC"/>
    <w:rsid w:val="454E4F75"/>
    <w:rsid w:val="454E6B7A"/>
    <w:rsid w:val="4551463D"/>
    <w:rsid w:val="45517734"/>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65246"/>
    <w:rsid w:val="4638532E"/>
    <w:rsid w:val="46386E57"/>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238F8"/>
    <w:rsid w:val="46E53AB0"/>
    <w:rsid w:val="46F37479"/>
    <w:rsid w:val="46FC2FE8"/>
    <w:rsid w:val="47033281"/>
    <w:rsid w:val="470467D4"/>
    <w:rsid w:val="47065799"/>
    <w:rsid w:val="47073BE8"/>
    <w:rsid w:val="470872CF"/>
    <w:rsid w:val="470D53CA"/>
    <w:rsid w:val="471563E1"/>
    <w:rsid w:val="47167C67"/>
    <w:rsid w:val="4723498C"/>
    <w:rsid w:val="47333B1B"/>
    <w:rsid w:val="47351654"/>
    <w:rsid w:val="473D0BD8"/>
    <w:rsid w:val="47457188"/>
    <w:rsid w:val="47586302"/>
    <w:rsid w:val="476407BD"/>
    <w:rsid w:val="47644CFB"/>
    <w:rsid w:val="47666951"/>
    <w:rsid w:val="47683159"/>
    <w:rsid w:val="476A7D07"/>
    <w:rsid w:val="477858D8"/>
    <w:rsid w:val="4783670F"/>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35F24"/>
    <w:rsid w:val="47FA20F9"/>
    <w:rsid w:val="47FA66CF"/>
    <w:rsid w:val="47FF3A74"/>
    <w:rsid w:val="480B7A59"/>
    <w:rsid w:val="48111DC2"/>
    <w:rsid w:val="48156BFB"/>
    <w:rsid w:val="48223D39"/>
    <w:rsid w:val="482B39B5"/>
    <w:rsid w:val="482D350F"/>
    <w:rsid w:val="483C2A8C"/>
    <w:rsid w:val="48424FA1"/>
    <w:rsid w:val="484647AE"/>
    <w:rsid w:val="484B640F"/>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6CF5"/>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93C20"/>
    <w:rsid w:val="49DA3FD3"/>
    <w:rsid w:val="49DA7AB7"/>
    <w:rsid w:val="49DD3956"/>
    <w:rsid w:val="49E028D9"/>
    <w:rsid w:val="49E46DD1"/>
    <w:rsid w:val="49ED323D"/>
    <w:rsid w:val="4A0573EC"/>
    <w:rsid w:val="4A06116C"/>
    <w:rsid w:val="4A070E8E"/>
    <w:rsid w:val="4A09499E"/>
    <w:rsid w:val="4A0B25A2"/>
    <w:rsid w:val="4A2934BE"/>
    <w:rsid w:val="4A2E7749"/>
    <w:rsid w:val="4A381BA6"/>
    <w:rsid w:val="4A3926E2"/>
    <w:rsid w:val="4A3A1BAF"/>
    <w:rsid w:val="4A4172CE"/>
    <w:rsid w:val="4A43236C"/>
    <w:rsid w:val="4A49535D"/>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B868C4"/>
    <w:rsid w:val="4BBC69DA"/>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513B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DF3"/>
    <w:rsid w:val="4CCD5921"/>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9501C"/>
    <w:rsid w:val="4F2C365D"/>
    <w:rsid w:val="4F376D93"/>
    <w:rsid w:val="4F3D4163"/>
    <w:rsid w:val="4F50208E"/>
    <w:rsid w:val="4F5678AB"/>
    <w:rsid w:val="4F6C1A64"/>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A6D44"/>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20E98"/>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259EB"/>
    <w:rsid w:val="50752AF6"/>
    <w:rsid w:val="50771C00"/>
    <w:rsid w:val="507925B1"/>
    <w:rsid w:val="508A668E"/>
    <w:rsid w:val="508D3268"/>
    <w:rsid w:val="509A3231"/>
    <w:rsid w:val="509C736A"/>
    <w:rsid w:val="50A272DB"/>
    <w:rsid w:val="50AF1C59"/>
    <w:rsid w:val="50B139BD"/>
    <w:rsid w:val="50B92297"/>
    <w:rsid w:val="50BD1498"/>
    <w:rsid w:val="50BE1B1D"/>
    <w:rsid w:val="50C371C0"/>
    <w:rsid w:val="50C51F05"/>
    <w:rsid w:val="50C65C4E"/>
    <w:rsid w:val="50C65E30"/>
    <w:rsid w:val="50CF2C40"/>
    <w:rsid w:val="50D228CF"/>
    <w:rsid w:val="50E54C0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44485"/>
    <w:rsid w:val="540912A5"/>
    <w:rsid w:val="541942B6"/>
    <w:rsid w:val="542A3FEF"/>
    <w:rsid w:val="542A5504"/>
    <w:rsid w:val="542F7A60"/>
    <w:rsid w:val="54346136"/>
    <w:rsid w:val="54490A23"/>
    <w:rsid w:val="5452765B"/>
    <w:rsid w:val="54550067"/>
    <w:rsid w:val="545716E1"/>
    <w:rsid w:val="54580F5A"/>
    <w:rsid w:val="54637F02"/>
    <w:rsid w:val="5478695B"/>
    <w:rsid w:val="54860559"/>
    <w:rsid w:val="548810E8"/>
    <w:rsid w:val="548B1663"/>
    <w:rsid w:val="54906088"/>
    <w:rsid w:val="54907EF0"/>
    <w:rsid w:val="549438A5"/>
    <w:rsid w:val="5499771A"/>
    <w:rsid w:val="549C6534"/>
    <w:rsid w:val="54A14490"/>
    <w:rsid w:val="54A153FA"/>
    <w:rsid w:val="54AB29C5"/>
    <w:rsid w:val="54AB36A1"/>
    <w:rsid w:val="54B171C4"/>
    <w:rsid w:val="54B61DA8"/>
    <w:rsid w:val="54B62C99"/>
    <w:rsid w:val="54C70F36"/>
    <w:rsid w:val="54CC47C4"/>
    <w:rsid w:val="54DF688B"/>
    <w:rsid w:val="54E95643"/>
    <w:rsid w:val="550E6C32"/>
    <w:rsid w:val="551C2E90"/>
    <w:rsid w:val="551F5EBC"/>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BF02D5"/>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11A6B"/>
    <w:rsid w:val="57E60B9B"/>
    <w:rsid w:val="57E60F74"/>
    <w:rsid w:val="57E73B61"/>
    <w:rsid w:val="57F01737"/>
    <w:rsid w:val="57F73696"/>
    <w:rsid w:val="58005923"/>
    <w:rsid w:val="5803475B"/>
    <w:rsid w:val="580A6FBE"/>
    <w:rsid w:val="580F5BC1"/>
    <w:rsid w:val="58153B58"/>
    <w:rsid w:val="5822786C"/>
    <w:rsid w:val="58243371"/>
    <w:rsid w:val="58293CFC"/>
    <w:rsid w:val="582F3FF1"/>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969FC"/>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5F1554"/>
    <w:rsid w:val="5A6336A1"/>
    <w:rsid w:val="5A6B7C88"/>
    <w:rsid w:val="5A73612A"/>
    <w:rsid w:val="5A736408"/>
    <w:rsid w:val="5A784D21"/>
    <w:rsid w:val="5A8F76C1"/>
    <w:rsid w:val="5A921A04"/>
    <w:rsid w:val="5A943E90"/>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9327E6"/>
    <w:rsid w:val="5CBF4297"/>
    <w:rsid w:val="5CC43404"/>
    <w:rsid w:val="5CC93DAE"/>
    <w:rsid w:val="5CD31EE3"/>
    <w:rsid w:val="5CDA688E"/>
    <w:rsid w:val="5CE1654F"/>
    <w:rsid w:val="5CE47CF9"/>
    <w:rsid w:val="5CEB1D70"/>
    <w:rsid w:val="5CF45558"/>
    <w:rsid w:val="5CF70E19"/>
    <w:rsid w:val="5D00730C"/>
    <w:rsid w:val="5D072BC8"/>
    <w:rsid w:val="5D076525"/>
    <w:rsid w:val="5D0A3A75"/>
    <w:rsid w:val="5D19384D"/>
    <w:rsid w:val="5D22473A"/>
    <w:rsid w:val="5D2259AC"/>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EFF3186"/>
    <w:rsid w:val="5F061DE5"/>
    <w:rsid w:val="5F09081F"/>
    <w:rsid w:val="5F094172"/>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81FCD"/>
    <w:rsid w:val="602876AC"/>
    <w:rsid w:val="603215F4"/>
    <w:rsid w:val="603771DA"/>
    <w:rsid w:val="604C5236"/>
    <w:rsid w:val="605006BC"/>
    <w:rsid w:val="606162D0"/>
    <w:rsid w:val="60674769"/>
    <w:rsid w:val="607079E9"/>
    <w:rsid w:val="60734371"/>
    <w:rsid w:val="60830460"/>
    <w:rsid w:val="6085543E"/>
    <w:rsid w:val="608647E8"/>
    <w:rsid w:val="608B5C80"/>
    <w:rsid w:val="60907882"/>
    <w:rsid w:val="609258F0"/>
    <w:rsid w:val="6093287A"/>
    <w:rsid w:val="609517E9"/>
    <w:rsid w:val="609A2B73"/>
    <w:rsid w:val="609F1E8C"/>
    <w:rsid w:val="60A0440C"/>
    <w:rsid w:val="60A16467"/>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97565"/>
    <w:rsid w:val="610C7D1D"/>
    <w:rsid w:val="61105E47"/>
    <w:rsid w:val="6112529A"/>
    <w:rsid w:val="611A7B15"/>
    <w:rsid w:val="611C59F7"/>
    <w:rsid w:val="611F0B09"/>
    <w:rsid w:val="61200AAF"/>
    <w:rsid w:val="612D2321"/>
    <w:rsid w:val="6138074F"/>
    <w:rsid w:val="61455CF4"/>
    <w:rsid w:val="61466898"/>
    <w:rsid w:val="61533F13"/>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00C1"/>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24DF2"/>
    <w:rsid w:val="62D67D61"/>
    <w:rsid w:val="62DB41A3"/>
    <w:rsid w:val="62E157FC"/>
    <w:rsid w:val="62E81148"/>
    <w:rsid w:val="62E83A0D"/>
    <w:rsid w:val="62F76986"/>
    <w:rsid w:val="62FA3D7F"/>
    <w:rsid w:val="63074CE8"/>
    <w:rsid w:val="631360BB"/>
    <w:rsid w:val="63197549"/>
    <w:rsid w:val="631C3A36"/>
    <w:rsid w:val="63212420"/>
    <w:rsid w:val="632230C5"/>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A064B"/>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7509F0"/>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1447B"/>
    <w:rsid w:val="64D93F02"/>
    <w:rsid w:val="64DE6A64"/>
    <w:rsid w:val="64E30570"/>
    <w:rsid w:val="64E471E9"/>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1E8F"/>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6E533E"/>
    <w:rsid w:val="67775952"/>
    <w:rsid w:val="677E2FA1"/>
    <w:rsid w:val="67834615"/>
    <w:rsid w:val="67836FB1"/>
    <w:rsid w:val="678A12A7"/>
    <w:rsid w:val="678A44B2"/>
    <w:rsid w:val="678C1D52"/>
    <w:rsid w:val="678D19D7"/>
    <w:rsid w:val="67973403"/>
    <w:rsid w:val="679F6DE4"/>
    <w:rsid w:val="67A6335C"/>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A5919"/>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97995"/>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73948"/>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206E21"/>
    <w:rsid w:val="6C263A06"/>
    <w:rsid w:val="6C340C24"/>
    <w:rsid w:val="6C3A624E"/>
    <w:rsid w:val="6C3F4795"/>
    <w:rsid w:val="6C431738"/>
    <w:rsid w:val="6C454C0E"/>
    <w:rsid w:val="6C505966"/>
    <w:rsid w:val="6C5D04BB"/>
    <w:rsid w:val="6C666C3C"/>
    <w:rsid w:val="6C6833E1"/>
    <w:rsid w:val="6C741417"/>
    <w:rsid w:val="6C8E4315"/>
    <w:rsid w:val="6C935206"/>
    <w:rsid w:val="6C95615F"/>
    <w:rsid w:val="6CA94419"/>
    <w:rsid w:val="6CAB3581"/>
    <w:rsid w:val="6CB242A2"/>
    <w:rsid w:val="6CBE13CE"/>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537E9"/>
    <w:rsid w:val="6D1B4673"/>
    <w:rsid w:val="6D273B17"/>
    <w:rsid w:val="6D274676"/>
    <w:rsid w:val="6D2E565A"/>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A7ACA"/>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EF878E3"/>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63749"/>
    <w:rsid w:val="70D91094"/>
    <w:rsid w:val="70DB76EF"/>
    <w:rsid w:val="70E47264"/>
    <w:rsid w:val="70ED02BC"/>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3F0E"/>
    <w:rsid w:val="716C65C5"/>
    <w:rsid w:val="716D67F7"/>
    <w:rsid w:val="71712A8F"/>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2AC5"/>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73F68"/>
    <w:rsid w:val="728B2CA4"/>
    <w:rsid w:val="728B509F"/>
    <w:rsid w:val="728E631B"/>
    <w:rsid w:val="728F0A31"/>
    <w:rsid w:val="728F4AB2"/>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20188"/>
    <w:rsid w:val="7326097A"/>
    <w:rsid w:val="732A4A9B"/>
    <w:rsid w:val="733202B6"/>
    <w:rsid w:val="73343997"/>
    <w:rsid w:val="73370B0A"/>
    <w:rsid w:val="733C723A"/>
    <w:rsid w:val="733C7C6A"/>
    <w:rsid w:val="733F7767"/>
    <w:rsid w:val="734C3798"/>
    <w:rsid w:val="73510529"/>
    <w:rsid w:val="73570B95"/>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235D8"/>
    <w:rsid w:val="74C46840"/>
    <w:rsid w:val="74CD412E"/>
    <w:rsid w:val="74D575AA"/>
    <w:rsid w:val="74D71DDE"/>
    <w:rsid w:val="74DA7956"/>
    <w:rsid w:val="74E11F86"/>
    <w:rsid w:val="74E80858"/>
    <w:rsid w:val="74EB4C9B"/>
    <w:rsid w:val="74F91440"/>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6390B"/>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E628B2"/>
    <w:rsid w:val="7AF91DAF"/>
    <w:rsid w:val="7AF9607E"/>
    <w:rsid w:val="7B18546A"/>
    <w:rsid w:val="7B1B467F"/>
    <w:rsid w:val="7B1F59AA"/>
    <w:rsid w:val="7B214978"/>
    <w:rsid w:val="7B391012"/>
    <w:rsid w:val="7B4667E8"/>
    <w:rsid w:val="7B4A5781"/>
    <w:rsid w:val="7B4E09BF"/>
    <w:rsid w:val="7B603C7C"/>
    <w:rsid w:val="7B651BB8"/>
    <w:rsid w:val="7B65590F"/>
    <w:rsid w:val="7B6E2AB1"/>
    <w:rsid w:val="7B771CED"/>
    <w:rsid w:val="7B7C1A5E"/>
    <w:rsid w:val="7B841287"/>
    <w:rsid w:val="7B9422CC"/>
    <w:rsid w:val="7BA22D26"/>
    <w:rsid w:val="7BA50ADE"/>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D1C81"/>
    <w:rsid w:val="7C9E5A24"/>
    <w:rsid w:val="7CA3583F"/>
    <w:rsid w:val="7CA67728"/>
    <w:rsid w:val="7CB62523"/>
    <w:rsid w:val="7CCA5583"/>
    <w:rsid w:val="7CD04189"/>
    <w:rsid w:val="7CD72F9B"/>
    <w:rsid w:val="7CE146B6"/>
    <w:rsid w:val="7CE65C11"/>
    <w:rsid w:val="7CE670CA"/>
    <w:rsid w:val="7CE70935"/>
    <w:rsid w:val="7CF84A31"/>
    <w:rsid w:val="7CFC44C2"/>
    <w:rsid w:val="7CFE6C71"/>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0A8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2023-04-10T13:28:17Z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